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F5" w:rsidRDefault="00A31F45" w:rsidP="0000719A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3828415</wp:posOffset>
            </wp:positionH>
            <wp:positionV relativeFrom="paragraph">
              <wp:posOffset>38055</wp:posOffset>
            </wp:positionV>
            <wp:extent cx="2543175" cy="1858645"/>
            <wp:effectExtent l="0" t="0" r="0" b="0"/>
            <wp:wrapSquare wrapText="bothSides" distT="0" distB="0" distL="114300" distR="114300"/>
            <wp:docPr id="22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58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210820</wp:posOffset>
                </wp:positionV>
                <wp:extent cx="3598545" cy="1509395"/>
                <wp:effectExtent l="0" t="0" r="0" b="0"/>
                <wp:wrapSquare wrapText="bothSides" distT="45720" distB="45720" distL="114300" distR="114300"/>
                <wp:docPr id="220" name="Téglalap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1490" y="3030065"/>
                          <a:ext cx="358902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4BF5" w:rsidRDefault="00A31F4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48"/>
                              </w:rPr>
                              <w:t>Számla vagy nyugta</w:t>
                            </w:r>
                            <w:proofErr w:type="gramStart"/>
                            <w:r>
                              <w:rPr>
                                <w:rFonts w:eastAsia="Calibri"/>
                                <w:color w:val="000000"/>
                                <w:sz w:val="48"/>
                              </w:rPr>
                              <w:t>...</w:t>
                            </w:r>
                            <w:proofErr w:type="gramEnd"/>
                          </w:p>
                          <w:p w:rsidR="00704BF5" w:rsidRDefault="00A31F4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40"/>
                              </w:rPr>
                              <w:t xml:space="preserve">Avagy mi kerüljön egy vállalat bizonylati </w:t>
                            </w:r>
                            <w:proofErr w:type="spellStart"/>
                            <w:r>
                              <w:rPr>
                                <w:rFonts w:eastAsia="Calibri"/>
                                <w:color w:val="000000"/>
                                <w:sz w:val="40"/>
                              </w:rPr>
                              <w:t>albumába</w:t>
                            </w:r>
                            <w:proofErr w:type="spellEnd"/>
                            <w:r>
                              <w:rPr>
                                <w:rFonts w:eastAsia="Calibri"/>
                                <w:color w:val="000000"/>
                                <w:sz w:val="40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210820</wp:posOffset>
                </wp:positionV>
                <wp:extent cx="3598545" cy="1509395"/>
                <wp:effectExtent b="0" l="0" r="0" t="0"/>
                <wp:wrapSquare wrapText="bothSides" distB="45720" distT="45720" distL="114300" distR="114300"/>
                <wp:docPr id="22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8545" cy="150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br w:type="page"/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-736599</wp:posOffset>
                </wp:positionH>
                <wp:positionV relativeFrom="paragraph">
                  <wp:posOffset>2984500</wp:posOffset>
                </wp:positionV>
                <wp:extent cx="7770495" cy="7699331"/>
                <wp:effectExtent l="0" t="0" r="0" b="0"/>
                <wp:wrapSquare wrapText="bothSides" distT="0" distB="0" distL="0" distR="0"/>
                <wp:docPr id="219" name="Téglalap 219" descr="színes téglala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5515" y="0"/>
                          <a:ext cx="7760970" cy="7560000"/>
                        </a:xfrm>
                        <a:prstGeom prst="rect">
                          <a:avLst/>
                        </a:prstGeom>
                        <a:solidFill>
                          <a:srgbClr val="26807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04BF5" w:rsidRDefault="00704BF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2984500</wp:posOffset>
                </wp:positionV>
                <wp:extent cx="7770495" cy="7699331"/>
                <wp:effectExtent b="0" l="0" r="0" t="0"/>
                <wp:wrapSquare wrapText="bothSides" distB="0" distT="0" distL="0" distR="0"/>
                <wp:docPr descr="színes téglalap" id="219" name="image8.png"/>
                <a:graphic>
                  <a:graphicData uri="http://schemas.openxmlformats.org/drawingml/2006/picture">
                    <pic:pic>
                      <pic:nvPicPr>
                        <pic:cNvPr descr="színes téglalap"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0495" cy="76993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id="0" w:name="_GoBack"/>
      <w:r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-838199</wp:posOffset>
            </wp:positionH>
            <wp:positionV relativeFrom="paragraph">
              <wp:posOffset>1880146</wp:posOffset>
            </wp:positionV>
            <wp:extent cx="7898765" cy="4443095"/>
            <wp:effectExtent l="0" t="0" r="0" b="0"/>
            <wp:wrapSquare wrapText="bothSides" distT="0" distB="0" distL="0" distR="0"/>
            <wp:docPr id="22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8765" cy="4443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6992620</wp:posOffset>
                </wp:positionV>
                <wp:extent cx="6210702" cy="1414145"/>
                <wp:effectExtent l="0" t="0" r="0" b="0"/>
                <wp:wrapSquare wrapText="bothSides" distT="45720" distB="45720" distL="114300" distR="114300"/>
                <wp:docPr id="218" name="Téglalap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5412" y="3077690"/>
                          <a:ext cx="6201177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4BF5" w:rsidRDefault="00A31F4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smallCaps/>
                                <w:color w:val="FFFFFF"/>
                                <w:sz w:val="32"/>
                              </w:rPr>
                              <w:t>BGSZC MÓDSZERTANI PÁLYÁZAT 2021</w:t>
                            </w:r>
                          </w:p>
                          <w:p w:rsidR="00704BF5" w:rsidRDefault="00A31F4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smallCaps/>
                                <w:color w:val="FFFFFF"/>
                                <w:sz w:val="32"/>
                              </w:rPr>
                              <w:t>EGYÜTT? MŰKÖDÜNK!</w:t>
                            </w:r>
                          </w:p>
                          <w:p w:rsidR="00704BF5" w:rsidRDefault="00704BF5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704BF5" w:rsidRDefault="00A31F4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8"/>
                              </w:rPr>
                              <w:t>BGSZC Berzeviczy Gergely Két Tanítási Nyelvű Közgazdasági Technikum</w:t>
                            </w:r>
                          </w:p>
                          <w:p w:rsidR="00704BF5" w:rsidRDefault="00A31F4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8"/>
                              </w:rPr>
                              <w:t>Bedő Gertrúd és Bertók Zsuzsanna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6992620</wp:posOffset>
                </wp:positionV>
                <wp:extent cx="6210702" cy="1414145"/>
                <wp:effectExtent b="0" l="0" r="0" t="0"/>
                <wp:wrapSquare wrapText="bothSides" distB="45720" distT="45720" distL="114300" distR="114300"/>
                <wp:docPr id="21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702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04BF5" w:rsidRDefault="00A31F45">
      <w:pPr>
        <w:pStyle w:val="Cm"/>
      </w:pPr>
      <w:r>
        <w:lastRenderedPageBreak/>
        <w:t>A tanórák személyes hangvételű, értékelő leírása</w:t>
      </w:r>
    </w:p>
    <w:p w:rsidR="00704BF5" w:rsidRDefault="00A31F45">
      <w:pPr>
        <w:jc w:val="both"/>
      </w:pPr>
      <w:bookmarkStart w:id="1" w:name="_heading=h.gjdgxs" w:colFirst="0" w:colLast="0"/>
      <w:bookmarkEnd w:id="1"/>
      <w:r>
        <w:t>Iskolánkban a 2020/2021-es tanévben az a döntés született, hogy a 11. évfolyamon a Számvitel gyakorlat tantárgy éves tananyagát a projekt héten dolgozzuk fel kooperatív- és projektmódszerek alkalmazásával. A projekt hétre május 17. és 21. között került sor.</w:t>
      </w:r>
    </w:p>
    <w:p w:rsidR="00704BF5" w:rsidRDefault="00704BF5">
      <w:pPr>
        <w:jc w:val="both"/>
      </w:pPr>
    </w:p>
    <w:p w:rsidR="00704BF5" w:rsidRDefault="00A31F45">
      <w:pPr>
        <w:jc w:val="both"/>
      </w:pPr>
      <w:r>
        <w:t>A tantárgy keretében a vállalkozásoknál használt bizonylatokkal, azok alkalmazási területeivel és pontos kitöltésével kellett megismerkedniük a tanulóknak. A 6 fős csoportok elsődleges feladata az volt, hogy összeállítsák egy termelő vállalat Bizonylati Albumát, de a projekt keretében számos kapcsolódó csapat és egyéni feladatot is meg kellett oldaniuk. A feladatokat úgy állítottuk össze, hogy sikeres teljesítésükhöz – az egyéni feladatok esetén is – szükséges volt a csapattagok közötti együttműködés, egymás támogatása, segítése.  A projekthét során elvégzett feladatok és az elkészült projekt termékek alapján került megállapításra a tanulók év végi érdemjegye. </w:t>
      </w:r>
    </w:p>
    <w:p w:rsidR="00704BF5" w:rsidRDefault="00704BF5">
      <w:pPr>
        <w:jc w:val="both"/>
      </w:pPr>
    </w:p>
    <w:p w:rsidR="00704BF5" w:rsidRDefault="00A31F45">
      <w:pPr>
        <w:jc w:val="both"/>
      </w:pPr>
      <w:r>
        <w:t xml:space="preserve">A munkavégzéshez tudásszint szempontjából </w:t>
      </w:r>
      <w:proofErr w:type="gramStart"/>
      <w:r>
        <w:t>heterogén</w:t>
      </w:r>
      <w:proofErr w:type="gramEnd"/>
      <w:r>
        <w:t xml:space="preserve"> csoportokat állítottunk össze az osztályfőnökök segítségével. Mivel egy 6 fős csoport esetében már megjelenhet a „potyautas” magatartás, ezért a csoportok összetételének kialakításánál és az elvégzendő feladatok meghatározásánál is elsődleges szempont volt ennek minimalizálása. </w:t>
      </w:r>
    </w:p>
    <w:p w:rsidR="00704BF5" w:rsidRDefault="00704BF5">
      <w:pPr>
        <w:jc w:val="both"/>
      </w:pPr>
    </w:p>
    <w:p w:rsidR="00704BF5" w:rsidRDefault="00A31F45">
      <w:pPr>
        <w:jc w:val="both"/>
      </w:pPr>
      <w:r>
        <w:t xml:space="preserve">A tananyag elsajátításához a szakértői mozaik módszert választottuk. A tananyagot hat részre osztottuk úgy, hogy könnyebb/rövidebb, átlagos hosszúságú/nehézségű és hosszabb/bonyolultabb anyagrészek is legyenek, hogy a csapattagok saját képességeik, tudásuk és motivációjuk alapján tudják kiválasztani az egyénileg feldolgozásra kerülő anyagrészt. Fontosnak tartottuk azt is, hogy a szakértői csoportok az adott tananyagrész átbeszélése után közösen </w:t>
      </w:r>
      <w:proofErr w:type="spellStart"/>
      <w:r>
        <w:t>töltsenek</w:t>
      </w:r>
      <w:proofErr w:type="spellEnd"/>
      <w:r>
        <w:t xml:space="preserve"> ki egy tudáspróbát, amelynek értékelésével visszajelzést kaptak arról, milyen mélységben sikerült feldolgozni a rájuk eső anyagrészt. Miután a szakértők visszaültek az alapcsoportjukba, és megtanították társaiknak mindazt, amit ők megtanultak az adott tananyagrész szakértőjeként, a csoport tagjai egyénileg töltöttek ki egy </w:t>
      </w:r>
      <w:proofErr w:type="spellStart"/>
      <w:r>
        <w:t>Quizizz</w:t>
      </w:r>
      <w:proofErr w:type="spellEnd"/>
      <w:r>
        <w:t xml:space="preserve"> tesztet. A teszten a csapattagok által szerzett pontszámok számtani átlaga számított bele a csapat végső pontszámába. Ezt azért éreztük szükségesnek, mert korábbi tapasztalataink alapján a diákok elég felületesen adják át tudásukat a csapattársaiknak, így ezzel szerettük volna hangsúlyosabbá tenni a tudásmegosztás fontosságát. Megítélésünk szerint ez a törekvésünk sikerrel járt, hiszen átlagosan 70%-</w:t>
      </w:r>
      <w:proofErr w:type="spellStart"/>
      <w:r>
        <w:t>os</w:t>
      </w:r>
      <w:proofErr w:type="spellEnd"/>
      <w:r>
        <w:t xml:space="preserve"> teszt eredmények születtek.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3459480</wp:posOffset>
            </wp:positionH>
            <wp:positionV relativeFrom="paragraph">
              <wp:posOffset>20320</wp:posOffset>
            </wp:positionV>
            <wp:extent cx="2926715" cy="2255520"/>
            <wp:effectExtent l="0" t="0" r="0" b="0"/>
            <wp:wrapSquare wrapText="bothSides" distT="0" distB="0" distL="114300" distR="114300"/>
            <wp:docPr id="23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2255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4BF5" w:rsidRDefault="00704BF5">
      <w:pPr>
        <w:jc w:val="both"/>
      </w:pPr>
    </w:p>
    <w:p w:rsidR="00704BF5" w:rsidRDefault="00A31F45">
      <w:pPr>
        <w:jc w:val="both"/>
      </w:pPr>
      <w:r>
        <w:t xml:space="preserve">Hogy a tanulók az elméleti tudásukat a gyakorlatban is alkalmazni tudják, a csapatoknak előzetesen megadott szempontok alapján „alapítaniuk” kellett egy termelő vállalkozást, annak logót és szlogent kellett tervezniük, és végig kellett gondolniuk, hogy a termelési folyamat során mikor és hol kerülnek </w:t>
      </w:r>
      <w:proofErr w:type="gramStart"/>
      <w:r>
        <w:lastRenderedPageBreak/>
        <w:t>elő</w:t>
      </w:r>
      <w:proofErr w:type="gramEnd"/>
      <w:r>
        <w:t xml:space="preserve"> azok a bizonylatok, amelyekről elméletben már tanultak. Erről egy vállalatbemutató prezentációt illetve egy, a folyamatokat és bizonylatokat bemutató plakátot kellett készítenie minden csapatnak.</w:t>
      </w:r>
    </w:p>
    <w:p w:rsidR="00704BF5" w:rsidRDefault="00A31F45">
      <w:pPr>
        <w:jc w:val="center"/>
      </w:pPr>
      <w:r>
        <w:rPr>
          <w:noProof/>
        </w:rPr>
        <w:drawing>
          <wp:inline distT="0" distB="0" distL="0" distR="0">
            <wp:extent cx="5853188" cy="4219265"/>
            <wp:effectExtent l="0" t="0" r="0" b="0"/>
            <wp:docPr id="22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3188" cy="421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4BF5" w:rsidRDefault="00A31F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color w:val="000000"/>
          <w:szCs w:val="24"/>
        </w:rPr>
      </w:pPr>
      <w:r>
        <w:rPr>
          <w:rFonts w:eastAsia="Calibri"/>
          <w:i/>
          <w:color w:val="000000"/>
          <w:szCs w:val="24"/>
        </w:rPr>
        <w:t>ábra – Vállalati folyamatokat és kapcsolódó bizonylatokat bemutató plakát</w:t>
      </w:r>
    </w:p>
    <w:p w:rsidR="00704BF5" w:rsidRDefault="00A31F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  <w:szCs w:val="24"/>
        </w:rPr>
      </w:pPr>
      <w:r>
        <w:rPr>
          <w:rFonts w:eastAsia="Calibri"/>
          <w:noProof/>
          <w:color w:val="000000"/>
          <w:szCs w:val="24"/>
        </w:rPr>
        <w:drawing>
          <wp:inline distT="0" distB="0" distL="0" distR="0">
            <wp:extent cx="6039120" cy="3952452"/>
            <wp:effectExtent l="0" t="0" r="0" b="0"/>
            <wp:docPr id="22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9120" cy="3952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4BF5" w:rsidRDefault="00A31F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lastRenderedPageBreak/>
        <w:t>ábra – Vállalatbemutató prezentáció</w:t>
      </w:r>
    </w:p>
    <w:p w:rsidR="00704BF5" w:rsidRDefault="00704BF5">
      <w:pPr>
        <w:jc w:val="both"/>
      </w:pPr>
    </w:p>
    <w:p w:rsidR="00704BF5" w:rsidRDefault="00704BF5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Cs w:val="24"/>
        </w:rPr>
      </w:pPr>
    </w:p>
    <w:p w:rsidR="00704BF5" w:rsidRDefault="00A31F45">
      <w:pPr>
        <w:jc w:val="both"/>
      </w:pPr>
      <w:r>
        <w:t xml:space="preserve">Szintén az elméleti tudás gyakorlati alkalmazásának támogatására a hét folyamán minden tanult bizonylatból készíteniük kellett a csapatoknak egy kitöltött mintát. A kitöltéshez szükséges gazdasági események leírását és az adatokat a feladatkiírás keretében megadtuk a csapatoknak. Az ellenőrzött és javított bizonylatokból tudták aztán összeállítani az adott vállalat bizonylati albumát, amely a projekt elsődleges projektterméke volt. Ennél a feladatrésznél nyilvánvalóvá vált, hogy ez a korosztály teljesen járatlan, ezáltal rendkívül bizonytalan a hivatalos </w:t>
      </w:r>
      <w:proofErr w:type="gramStart"/>
      <w:r>
        <w:t>dokumentumok</w:t>
      </w:r>
      <w:proofErr w:type="gramEnd"/>
      <w:r>
        <w:t xml:space="preserve"> kitöltésében, épp ezért a projektnek ebben a szakaszában igényelték legnagyobb mértékben a tanári segítséget és támogatást. Végül minden csapat össze tudta állítani a saját bizonylati albumát. </w:t>
      </w:r>
    </w:p>
    <w:p w:rsidR="00704BF5" w:rsidRDefault="00704BF5"/>
    <w:p w:rsidR="00704BF5" w:rsidRDefault="00A31F45">
      <w:pPr>
        <w:jc w:val="both"/>
      </w:pPr>
      <w:r>
        <w:t xml:space="preserve">A projekt hét utolsó napja a </w:t>
      </w:r>
      <w:proofErr w:type="spellStart"/>
      <w:r>
        <w:t>disszeminációról</w:t>
      </w:r>
      <w:proofErr w:type="spellEnd"/>
      <w:r>
        <w:t xml:space="preserve"> és az értékelésről szólt. A csapatok a vállalat és a bizonylati album bemutatása mellett egy, az egész heti munkát és együttműködést </w:t>
      </w:r>
      <w:proofErr w:type="gramStart"/>
      <w:r>
        <w:t>prezentáló</w:t>
      </w:r>
      <w:proofErr w:type="gramEnd"/>
      <w:r>
        <w:t xml:space="preserve"> videót is megosztottak társaikkal. Minden csapat értékelte saját teljesítményét és a többi csapat teljesítményét is az alábbi értékelőlap segítségével:</w:t>
      </w:r>
    </w:p>
    <w:p w:rsidR="00704BF5" w:rsidRDefault="00A31F45">
      <w:pPr>
        <w:jc w:val="center"/>
      </w:pPr>
      <w:r>
        <w:rPr>
          <w:noProof/>
        </w:rPr>
        <w:drawing>
          <wp:inline distT="0" distB="0" distL="0" distR="0">
            <wp:extent cx="5109821" cy="5153570"/>
            <wp:effectExtent l="0" t="0" r="0" b="0"/>
            <wp:docPr id="22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9821" cy="5153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4BF5" w:rsidRDefault="00A31F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ábra – Ön- és társértékelésre használt sablon</w:t>
      </w:r>
    </w:p>
    <w:p w:rsidR="00704BF5" w:rsidRDefault="00A31F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lastRenderedPageBreak/>
        <w:t>A társértékelés során legtöbb pontot elérő csapatot apró ajándékkal (csokoládé) jutalmaztuk, emellett ezek a pontszámok 20%-</w:t>
      </w:r>
      <w:proofErr w:type="spellStart"/>
      <w:r>
        <w:rPr>
          <w:rFonts w:eastAsia="Calibri"/>
          <w:color w:val="000000"/>
          <w:szCs w:val="24"/>
        </w:rPr>
        <w:t>os</w:t>
      </w:r>
      <w:proofErr w:type="spellEnd"/>
      <w:r>
        <w:rPr>
          <w:rFonts w:eastAsia="Calibri"/>
          <w:color w:val="000000"/>
          <w:szCs w:val="24"/>
        </w:rPr>
        <w:t xml:space="preserve"> súllyal a kapott érdemjegybe is beszámítottak. Örömmel tapasztaltuk, hogy – miután mindenki pontosan tudta, hogy hogy is kellene kinéznie a projektterméknek, és azt is, hogy mennyi munka áll a látott bemutatók mögött – a tanulók rendkívül </w:t>
      </w:r>
      <w:proofErr w:type="gramStart"/>
      <w:r>
        <w:rPr>
          <w:rFonts w:eastAsia="Calibri"/>
          <w:color w:val="000000"/>
          <w:szCs w:val="24"/>
        </w:rPr>
        <w:t>reálisan</w:t>
      </w:r>
      <w:proofErr w:type="gramEnd"/>
      <w:r>
        <w:rPr>
          <w:rFonts w:eastAsia="Calibri"/>
          <w:color w:val="000000"/>
          <w:szCs w:val="24"/>
        </w:rPr>
        <w:t xml:space="preserve"> értékelték mind a saját, mind pedig a társaik teljesítményét.</w:t>
      </w:r>
    </w:p>
    <w:p w:rsidR="00704BF5" w:rsidRDefault="00704B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Cs w:val="24"/>
        </w:rPr>
      </w:pPr>
    </w:p>
    <w:p w:rsidR="00704BF5" w:rsidRDefault="00A31F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A hét lezárásaként a tanulók külön-külön kitöltöttek egy rövid online tesztet, hogy visszacsatolást kapjunk arról, ki mit sajátított el a projekt keretében. A teszteredmények nagyjából átlagosan 10 százalékkal lettek jobbak, mint egy témazáró dolgozat eredményei.</w:t>
      </w:r>
    </w:p>
    <w:p w:rsidR="00704BF5" w:rsidRDefault="00704B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Cs w:val="24"/>
        </w:rPr>
      </w:pPr>
    </w:p>
    <w:p w:rsidR="00704BF5" w:rsidRDefault="00A31F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A projekthét során a fejlesztő értékelésre is nagy hangsúlyt fektettünk. A csoportok az elkészült feladataikat a </w:t>
      </w:r>
      <w:proofErr w:type="spellStart"/>
      <w:r>
        <w:rPr>
          <w:rFonts w:eastAsia="Calibri"/>
          <w:color w:val="000000"/>
          <w:szCs w:val="24"/>
        </w:rPr>
        <w:t>Teams</w:t>
      </w:r>
      <w:proofErr w:type="spellEnd"/>
      <w:r>
        <w:rPr>
          <w:rFonts w:eastAsia="Calibri"/>
          <w:color w:val="000000"/>
          <w:szCs w:val="24"/>
        </w:rPr>
        <w:t xml:space="preserve"> rendszeren keresztül nyújtották be, ahol a pontszámok mellett minden esetben szöveges értékelést is kaptak a beadott munkákra vonatkozóan, így folyamatosan tökéletesíteni tudták projekttermékeiket.</w:t>
      </w:r>
    </w:p>
    <w:p w:rsidR="00704BF5" w:rsidRDefault="00704B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Cs w:val="24"/>
        </w:rPr>
      </w:pPr>
    </w:p>
    <w:p w:rsidR="00704BF5" w:rsidRDefault="00A31F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Bár a projekt előkészítése, a tananyag átalakítása a szakértői mozaik módszerhez, a szakértői tesztek és egyéni tesztek összeállítása, a bizonylatkitöltéshez szükséges gazdasági események meghatározása nagyon sok időt és energiát vett igénybe, a sikeres megvalósítás, a jó hangulatú tanítási órák, a látványos projekttermékek és az átlagosnál jobb teszteredmények biztosítanak minket arról, hogy a befektetett munka nem volt hiábavaló.</w:t>
      </w:r>
    </w:p>
    <w:p w:rsidR="00704BF5" w:rsidRDefault="00704B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Cs w:val="24"/>
        </w:rPr>
      </w:pPr>
    </w:p>
    <w:p w:rsidR="00704BF5" w:rsidRDefault="00A31F45">
      <w:pPr>
        <w:spacing w:after="200"/>
      </w:pPr>
      <w:r>
        <w:br w:type="page"/>
      </w:r>
    </w:p>
    <w:p w:rsidR="00704BF5" w:rsidRDefault="00A31F45">
      <w:pPr>
        <w:pStyle w:val="Cm"/>
      </w:pPr>
      <w:r>
        <w:lastRenderedPageBreak/>
        <w:t>Tanulási eredmények</w:t>
      </w:r>
    </w:p>
    <w:p w:rsidR="00704BF5" w:rsidRDefault="00704BF5">
      <w:pPr>
        <w:spacing w:after="200"/>
      </w:pPr>
    </w:p>
    <w:tbl>
      <w:tblPr>
        <w:tblStyle w:val="a"/>
        <w:tblW w:w="10024" w:type="dxa"/>
        <w:tblInd w:w="0" w:type="dxa"/>
        <w:tblBorders>
          <w:top w:val="single" w:sz="4" w:space="0" w:color="7AD6CF"/>
          <w:left w:val="single" w:sz="4" w:space="0" w:color="7AD6CF"/>
          <w:bottom w:val="single" w:sz="4" w:space="0" w:color="7AD6CF"/>
          <w:right w:val="single" w:sz="4" w:space="0" w:color="7AD6CF"/>
          <w:insideH w:val="single" w:sz="4" w:space="0" w:color="7AD6CF"/>
          <w:insideV w:val="single" w:sz="4" w:space="0" w:color="7AD6CF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6"/>
      </w:tblGrid>
      <w:tr w:rsidR="00704BF5" w:rsidTr="00704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vAlign w:val="center"/>
          </w:tcPr>
          <w:p w:rsidR="00704BF5" w:rsidRDefault="00A31F45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Ismeret</w:t>
            </w:r>
          </w:p>
        </w:tc>
        <w:tc>
          <w:tcPr>
            <w:tcW w:w="2506" w:type="dxa"/>
            <w:vAlign w:val="center"/>
          </w:tcPr>
          <w:p w:rsidR="00704BF5" w:rsidRDefault="00A31F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Képesség</w:t>
            </w:r>
          </w:p>
        </w:tc>
        <w:tc>
          <w:tcPr>
            <w:tcW w:w="2506" w:type="dxa"/>
            <w:vAlign w:val="center"/>
          </w:tcPr>
          <w:p w:rsidR="00704BF5" w:rsidRDefault="00A31F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Attitűd</w:t>
            </w:r>
          </w:p>
        </w:tc>
        <w:tc>
          <w:tcPr>
            <w:tcW w:w="2506" w:type="dxa"/>
            <w:vAlign w:val="center"/>
          </w:tcPr>
          <w:p w:rsidR="00704BF5" w:rsidRDefault="00A31F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Autonómia és felelősségvállalás</w:t>
            </w:r>
          </w:p>
        </w:tc>
      </w:tr>
      <w:tr w:rsidR="00704BF5" w:rsidTr="0070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:rsidR="00704BF5" w:rsidRDefault="00A31F45">
            <w:pPr>
              <w:spacing w:after="200"/>
            </w:pPr>
            <w:r>
              <w:t>Ismeri a bizonylat, bizonylati album fogalmát</w:t>
            </w:r>
          </w:p>
        </w:tc>
        <w:tc>
          <w:tcPr>
            <w:tcW w:w="2506" w:type="dxa"/>
          </w:tcPr>
          <w:p w:rsidR="00704BF5" w:rsidRDefault="00A31F45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Össze tudja kapcsolni a bizonylatok kötelező elemeit, értelmezni tudja a bizonylati album felépítését</w:t>
            </w:r>
          </w:p>
        </w:tc>
        <w:tc>
          <w:tcPr>
            <w:tcW w:w="2506" w:type="dxa"/>
          </w:tcPr>
          <w:p w:rsidR="00704BF5" w:rsidRDefault="00A31F45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Törekszik a szakmához kapcsolódó fogalmak helyes értelmezésére</w:t>
            </w:r>
          </w:p>
        </w:tc>
        <w:tc>
          <w:tcPr>
            <w:tcW w:w="2506" w:type="dxa"/>
            <w:vMerge w:val="restart"/>
          </w:tcPr>
          <w:p w:rsidR="00704BF5" w:rsidRDefault="00A31F45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Feladataiban a jogszabályok betartásával és a szakmai elvek figyelembevételével önállóan vizsgál, elemez, értékel és hoz döntést. Következtetéseit a korábban elsajátított módon formailag helyesen, saját maga fogalmazza meg és foglalja </w:t>
            </w:r>
            <w:proofErr w:type="gramStart"/>
            <w:r>
              <w:rPr>
                <w:b/>
              </w:rPr>
              <w:t>dokumentumba</w:t>
            </w:r>
            <w:proofErr w:type="gramEnd"/>
            <w:r>
              <w:rPr>
                <w:b/>
              </w:rPr>
              <w:t>.</w:t>
            </w:r>
          </w:p>
          <w:p w:rsidR="00704BF5" w:rsidRDefault="00A31F45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Tudatos fogyasztóként felismeri a kapott bizonylatokat és érvényesíteni tudja saját érdekeit.</w:t>
            </w:r>
            <w:r>
              <w:rPr>
                <w:b/>
              </w:rPr>
              <w:br/>
            </w:r>
          </w:p>
        </w:tc>
      </w:tr>
      <w:tr w:rsidR="00704BF5" w:rsidTr="00704BF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:rsidR="00704BF5" w:rsidRDefault="00A31F45">
            <w:pPr>
              <w:spacing w:after="200"/>
            </w:pPr>
            <w:r>
              <w:t>Értelmezze az egyes bizonylatok tartalmát, kitöltési szabályait.</w:t>
            </w:r>
          </w:p>
        </w:tc>
        <w:tc>
          <w:tcPr>
            <w:tcW w:w="2506" w:type="dxa"/>
          </w:tcPr>
          <w:p w:rsidR="00704BF5" w:rsidRDefault="00A31F45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Ki tudja számolni a rész és végeredményeket, alkalmazni tudja az összesítő sorok kiszámításának módszerét</w:t>
            </w:r>
          </w:p>
          <w:p w:rsidR="00704BF5" w:rsidRDefault="00A31F45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Képes a bizonylatok szabályos kitöltésére</w:t>
            </w:r>
          </w:p>
        </w:tc>
        <w:tc>
          <w:tcPr>
            <w:tcW w:w="2506" w:type="dxa"/>
          </w:tcPr>
          <w:p w:rsidR="00704BF5" w:rsidRDefault="00A31F45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Pozitívan áll a szakmával járó feladatok megoldásához</w:t>
            </w:r>
          </w:p>
        </w:tc>
        <w:tc>
          <w:tcPr>
            <w:tcW w:w="2506" w:type="dxa"/>
            <w:vMerge/>
          </w:tcPr>
          <w:p w:rsidR="00704BF5" w:rsidRDefault="00704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04BF5" w:rsidTr="0070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:rsidR="00704BF5" w:rsidRDefault="00A31F45">
            <w:pPr>
              <w:spacing w:after="200"/>
            </w:pPr>
            <w:r>
              <w:t>Ismerje a vállalaton belül a bizonylatok kezelésének módját</w:t>
            </w:r>
          </w:p>
        </w:tc>
        <w:tc>
          <w:tcPr>
            <w:tcW w:w="2506" w:type="dxa"/>
          </w:tcPr>
          <w:p w:rsidR="00704BF5" w:rsidRDefault="00A31F45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Össze tudja kapcsolni a termelési folyamat elemeit a hozzájuk tartozó bizonylatokkal</w:t>
            </w:r>
          </w:p>
        </w:tc>
        <w:tc>
          <w:tcPr>
            <w:tcW w:w="2506" w:type="dxa"/>
          </w:tcPr>
          <w:p w:rsidR="00704BF5" w:rsidRDefault="00A31F45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Optimális megoldás megtalálására törekszik</w:t>
            </w:r>
          </w:p>
        </w:tc>
        <w:tc>
          <w:tcPr>
            <w:tcW w:w="2506" w:type="dxa"/>
            <w:vMerge/>
          </w:tcPr>
          <w:p w:rsidR="00704BF5" w:rsidRDefault="00704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04BF5" w:rsidTr="00704BF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:rsidR="00704BF5" w:rsidRDefault="00A31F45">
            <w:pPr>
              <w:spacing w:after="200"/>
            </w:pPr>
            <w:r>
              <w:t>Ismerje a digitális tartalmak előállítására használható programokat</w:t>
            </w:r>
          </w:p>
        </w:tc>
        <w:tc>
          <w:tcPr>
            <w:tcW w:w="2506" w:type="dxa"/>
          </w:tcPr>
          <w:p w:rsidR="00704BF5" w:rsidRDefault="00A31F45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Megfelelően alkalmazza a programokat a tartalmak előállítására (ppt, videó, </w:t>
            </w:r>
            <w:proofErr w:type="spellStart"/>
            <w:r>
              <w:rPr>
                <w:b/>
              </w:rPr>
              <w:t>Teams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06" w:type="dxa"/>
          </w:tcPr>
          <w:p w:rsidR="00704BF5" w:rsidRDefault="00A31F45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Készséggel </w:t>
            </w:r>
            <w:proofErr w:type="gramStart"/>
            <w:r>
              <w:rPr>
                <w:b/>
              </w:rPr>
              <w:t>megtanulja</w:t>
            </w:r>
            <w:proofErr w:type="gramEnd"/>
            <w:r>
              <w:rPr>
                <w:b/>
              </w:rPr>
              <w:t xml:space="preserve"> használni a munkáját segítő szoftvert, amiből önbizalmat merít, tapasztalatot nyer</w:t>
            </w:r>
          </w:p>
        </w:tc>
        <w:tc>
          <w:tcPr>
            <w:tcW w:w="2506" w:type="dxa"/>
            <w:vMerge w:val="restart"/>
          </w:tcPr>
          <w:p w:rsidR="00704BF5" w:rsidRDefault="00A31F45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Digitális eszközöket önállóan alkalmaz munkája, feladatmegoldása megkönnyítésére.</w:t>
            </w:r>
            <w:r>
              <w:rPr>
                <w:b/>
              </w:rPr>
              <w:br/>
              <w:t>A saját maga által előállított digitális tartalmaknál a GDPR alapelvek és a biztonságos internethasználat szabályai szerint jár el</w:t>
            </w:r>
          </w:p>
        </w:tc>
      </w:tr>
      <w:tr w:rsidR="00704BF5" w:rsidTr="0070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:rsidR="00704BF5" w:rsidRDefault="00A31F45">
            <w:pPr>
              <w:spacing w:after="200"/>
            </w:pPr>
            <w:r>
              <w:t>Ismerje a biztonságos internethasználat szabályait</w:t>
            </w:r>
          </w:p>
        </w:tc>
        <w:tc>
          <w:tcPr>
            <w:tcW w:w="2506" w:type="dxa"/>
          </w:tcPr>
          <w:p w:rsidR="00704BF5" w:rsidRDefault="00A31F45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Tudjon különbséget tenni valós és nem valós tartalmak között</w:t>
            </w:r>
          </w:p>
        </w:tc>
        <w:tc>
          <w:tcPr>
            <w:tcW w:w="2506" w:type="dxa"/>
          </w:tcPr>
          <w:p w:rsidR="00704BF5" w:rsidRDefault="00A31F45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Felelős internethasználatra törekszik</w:t>
            </w:r>
          </w:p>
        </w:tc>
        <w:tc>
          <w:tcPr>
            <w:tcW w:w="2506" w:type="dxa"/>
            <w:vMerge/>
          </w:tcPr>
          <w:p w:rsidR="00704BF5" w:rsidRDefault="00704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04BF5" w:rsidRDefault="00704BF5">
      <w:pPr>
        <w:spacing w:after="200"/>
      </w:pPr>
    </w:p>
    <w:p w:rsidR="00704BF5" w:rsidRDefault="00A31F45">
      <w:pPr>
        <w:spacing w:after="200"/>
      </w:pPr>
      <w:r>
        <w:br w:type="page"/>
      </w:r>
    </w:p>
    <w:p w:rsidR="00704BF5" w:rsidRDefault="00A31F45">
      <w:pPr>
        <w:pStyle w:val="Cm"/>
      </w:pPr>
      <w:r>
        <w:lastRenderedPageBreak/>
        <w:t>Tanulói önértékelés a tanórákon tanultak kapcsán</w:t>
      </w:r>
    </w:p>
    <w:p w:rsidR="00704BF5" w:rsidRDefault="00A31F45">
      <w:pPr>
        <w:jc w:val="center"/>
      </w:pPr>
      <w:r>
        <w:rPr>
          <w:noProof/>
        </w:rPr>
        <w:drawing>
          <wp:inline distT="114300" distB="114300" distL="114300" distR="114300">
            <wp:extent cx="3600000" cy="4824000"/>
            <wp:effectExtent l="0" t="0" r="0" b="0"/>
            <wp:docPr id="22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48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4BF5" w:rsidRDefault="00A31F45">
      <w:pPr>
        <w:jc w:val="center"/>
      </w:pPr>
      <w:r>
        <w:rPr>
          <w:noProof/>
        </w:rPr>
        <w:drawing>
          <wp:inline distT="114300" distB="114300" distL="114300" distR="114300">
            <wp:extent cx="3600000" cy="3624407"/>
            <wp:effectExtent l="0" t="0" r="0" b="0"/>
            <wp:docPr id="22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24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4BF5" w:rsidRDefault="00A31F45">
      <w:pPr>
        <w:jc w:val="center"/>
      </w:pPr>
      <w:r>
        <w:rPr>
          <w:noProof/>
        </w:rPr>
        <w:lastRenderedPageBreak/>
        <w:drawing>
          <wp:inline distT="114300" distB="114300" distL="114300" distR="114300">
            <wp:extent cx="3600000" cy="3240000"/>
            <wp:effectExtent l="0" t="0" r="0" b="0"/>
            <wp:docPr id="23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2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4BF5" w:rsidRDefault="00704BF5">
      <w:pPr>
        <w:jc w:val="center"/>
      </w:pPr>
    </w:p>
    <w:p w:rsidR="00704BF5" w:rsidRDefault="00704BF5">
      <w:pPr>
        <w:jc w:val="center"/>
      </w:pPr>
    </w:p>
    <w:p w:rsidR="00704BF5" w:rsidRDefault="00A31F45">
      <w:pPr>
        <w:jc w:val="center"/>
      </w:pPr>
      <w:r>
        <w:rPr>
          <w:noProof/>
        </w:rPr>
        <w:drawing>
          <wp:inline distT="114300" distB="114300" distL="114300" distR="114300">
            <wp:extent cx="3600000" cy="2574915"/>
            <wp:effectExtent l="0" t="0" r="0" b="0"/>
            <wp:docPr id="2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4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4BF5" w:rsidRDefault="00704BF5">
      <w:pPr>
        <w:jc w:val="center"/>
      </w:pPr>
    </w:p>
    <w:p w:rsidR="00704BF5" w:rsidRDefault="00A31F45">
      <w:pPr>
        <w:jc w:val="center"/>
      </w:pPr>
      <w:r>
        <w:rPr>
          <w:noProof/>
        </w:rPr>
        <w:lastRenderedPageBreak/>
        <w:drawing>
          <wp:inline distT="114300" distB="114300" distL="114300" distR="114300">
            <wp:extent cx="3600000" cy="4068000"/>
            <wp:effectExtent l="0" t="0" r="0" b="0"/>
            <wp:docPr id="2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406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4BF5" w:rsidRDefault="00704BF5">
      <w:pPr>
        <w:jc w:val="center"/>
      </w:pPr>
    </w:p>
    <w:sectPr w:rsidR="00704BF5">
      <w:headerReference w:type="default" r:id="rId22"/>
      <w:footerReference w:type="default" r:id="rId23"/>
      <w:pgSz w:w="11906" w:h="16838"/>
      <w:pgMar w:top="720" w:right="936" w:bottom="720" w:left="936" w:header="0" w:footer="28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C3" w:rsidRDefault="002C31C3">
      <w:pPr>
        <w:spacing w:line="240" w:lineRule="auto"/>
      </w:pPr>
      <w:r>
        <w:separator/>
      </w:r>
    </w:p>
  </w:endnote>
  <w:endnote w:type="continuationSeparator" w:id="0">
    <w:p w:rsidR="002C31C3" w:rsidRDefault="002C3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F5" w:rsidRDefault="00A31F45">
    <w:pPr>
      <w:pBdr>
        <w:top w:val="nil"/>
        <w:left w:val="nil"/>
        <w:bottom w:val="nil"/>
        <w:right w:val="nil"/>
        <w:between w:val="nil"/>
      </w:pBdr>
      <w:jc w:val="center"/>
      <w:rPr>
        <w:rFonts w:eastAsia="Calibri"/>
        <w:color w:val="000000"/>
        <w:szCs w:val="24"/>
      </w:rPr>
    </w:pPr>
    <w:r>
      <w:rPr>
        <w:rFonts w:eastAsia="Calibri"/>
        <w:color w:val="000000"/>
        <w:szCs w:val="24"/>
      </w:rPr>
      <w:fldChar w:fldCharType="begin"/>
    </w:r>
    <w:r>
      <w:rPr>
        <w:rFonts w:eastAsia="Calibri"/>
        <w:color w:val="000000"/>
        <w:szCs w:val="24"/>
      </w:rPr>
      <w:instrText>PAGE</w:instrText>
    </w:r>
    <w:r>
      <w:rPr>
        <w:rFonts w:eastAsia="Calibri"/>
        <w:color w:val="000000"/>
        <w:szCs w:val="24"/>
      </w:rPr>
      <w:fldChar w:fldCharType="separate"/>
    </w:r>
    <w:r w:rsidR="00C72D82">
      <w:rPr>
        <w:rFonts w:eastAsia="Calibri"/>
        <w:noProof/>
        <w:color w:val="000000"/>
        <w:szCs w:val="24"/>
      </w:rPr>
      <w:t>9</w:t>
    </w:r>
    <w:r>
      <w:rPr>
        <w:rFonts w:eastAsia="Calibri"/>
        <w:color w:val="000000"/>
        <w:szCs w:val="24"/>
      </w:rPr>
      <w:fldChar w:fldCharType="end"/>
    </w:r>
  </w:p>
  <w:p w:rsidR="00704BF5" w:rsidRDefault="00704BF5">
    <w:pPr>
      <w:pBdr>
        <w:top w:val="nil"/>
        <w:left w:val="nil"/>
        <w:bottom w:val="nil"/>
        <w:right w:val="nil"/>
        <w:between w:val="nil"/>
      </w:pBdr>
      <w:rPr>
        <w:rFonts w:eastAsia="Calibri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C3" w:rsidRDefault="002C31C3">
      <w:pPr>
        <w:spacing w:line="240" w:lineRule="auto"/>
      </w:pPr>
      <w:r>
        <w:separator/>
      </w:r>
    </w:p>
  </w:footnote>
  <w:footnote w:type="continuationSeparator" w:id="0">
    <w:p w:rsidR="002C31C3" w:rsidRDefault="002C3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F5" w:rsidRDefault="00704BF5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a0"/>
      <w:tblW w:w="10035" w:type="dxa"/>
      <w:tblInd w:w="0" w:type="dxa"/>
      <w:tblBorders>
        <w:top w:val="single" w:sz="36" w:space="0" w:color="082A75"/>
        <w:left w:val="single" w:sz="36" w:space="0" w:color="082A75"/>
        <w:bottom w:val="single" w:sz="36" w:space="0" w:color="082A75"/>
        <w:right w:val="single" w:sz="36" w:space="0" w:color="082A75"/>
        <w:insideH w:val="single" w:sz="36" w:space="0" w:color="082A75"/>
        <w:insideV w:val="single" w:sz="36" w:space="0" w:color="082A75"/>
      </w:tblBorders>
      <w:tblLayout w:type="fixed"/>
      <w:tblLook w:val="0000" w:firstRow="0" w:lastRow="0" w:firstColumn="0" w:lastColumn="0" w:noHBand="0" w:noVBand="0"/>
    </w:tblPr>
    <w:tblGrid>
      <w:gridCol w:w="10035"/>
    </w:tblGrid>
    <w:tr w:rsidR="00704BF5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/>
            <w:right w:val="nil"/>
          </w:tcBorders>
        </w:tcPr>
        <w:p w:rsidR="00704BF5" w:rsidRDefault="00704BF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/>
              <w:color w:val="000000"/>
              <w:szCs w:val="24"/>
            </w:rPr>
          </w:pPr>
        </w:p>
      </w:tc>
    </w:tr>
  </w:tbl>
  <w:p w:rsidR="00704BF5" w:rsidRDefault="00704BF5">
    <w:pPr>
      <w:pBdr>
        <w:top w:val="nil"/>
        <w:left w:val="nil"/>
        <w:bottom w:val="nil"/>
        <w:right w:val="nil"/>
        <w:between w:val="nil"/>
      </w:pBdr>
      <w:rPr>
        <w:rFonts w:eastAsia="Calibri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73FA"/>
    <w:multiLevelType w:val="multilevel"/>
    <w:tmpl w:val="0DFA8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F5"/>
    <w:rsid w:val="0000719A"/>
    <w:rsid w:val="002C31C3"/>
    <w:rsid w:val="00704BF5"/>
    <w:rsid w:val="00A31F45"/>
    <w:rsid w:val="00C7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FFC91-4C9E-4D74-A513-563C4E79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2280"/>
    <w:rPr>
      <w:rFonts w:eastAsiaTheme="minorEastAsia"/>
      <w:szCs w:val="22"/>
    </w:rPr>
  </w:style>
  <w:style w:type="paragraph" w:styleId="Cmsor1">
    <w:name w:val="heading 1"/>
    <w:basedOn w:val="Norml"/>
    <w:link w:val="Cmsor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Cmsor2">
    <w:name w:val="heading 2"/>
    <w:basedOn w:val="Norml"/>
    <w:next w:val="Norml"/>
    <w:link w:val="Cmsor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"/>
    <w:qFormat/>
    <w:rsid w:val="00DD2280"/>
    <w:pPr>
      <w:spacing w:after="200" w:line="240" w:lineRule="auto"/>
    </w:pPr>
    <w:rPr>
      <w:rFonts w:eastAsiaTheme="majorEastAsia" w:cstheme="majorBidi"/>
      <w:b/>
      <w:bCs/>
      <w:sz w:val="28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1"/>
    <w:rsid w:val="00DD2280"/>
    <w:rPr>
      <w:rFonts w:eastAsiaTheme="majorEastAsia" w:cstheme="majorBidi"/>
      <w:b/>
      <w:bCs/>
      <w:sz w:val="28"/>
      <w:szCs w:val="52"/>
    </w:rPr>
  </w:style>
  <w:style w:type="character" w:customStyle="1" w:styleId="Cmsor1Char">
    <w:name w:val="Címsor 1 Char"/>
    <w:basedOn w:val="Bekezdsalapbettpusa"/>
    <w:link w:val="Cmsor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lfej">
    <w:name w:val="header"/>
    <w:basedOn w:val="Norml"/>
    <w:link w:val="lfejChar"/>
    <w:uiPriority w:val="8"/>
    <w:unhideWhenUsed/>
    <w:rsid w:val="005037F0"/>
  </w:style>
  <w:style w:type="character" w:customStyle="1" w:styleId="lfejChar">
    <w:name w:val="Élőfej Char"/>
    <w:basedOn w:val="Bekezdsalapbettpusa"/>
    <w:link w:val="lfej"/>
    <w:uiPriority w:val="8"/>
    <w:rsid w:val="0093335D"/>
  </w:style>
  <w:style w:type="paragraph" w:styleId="llb">
    <w:name w:val="footer"/>
    <w:basedOn w:val="Norml"/>
    <w:link w:val="llbChar"/>
    <w:uiPriority w:val="99"/>
    <w:unhideWhenUsed/>
    <w:rsid w:val="005037F0"/>
  </w:style>
  <w:style w:type="character" w:customStyle="1" w:styleId="llbChar">
    <w:name w:val="Élőláb Char"/>
    <w:basedOn w:val="Bekezdsalapbettpusa"/>
    <w:link w:val="llb"/>
    <w:uiPriority w:val="99"/>
    <w:rsid w:val="005037F0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Rcsostblzat">
    <w:name w:val="Table Grid"/>
    <w:basedOn w:val="Normltblzat"/>
    <w:uiPriority w:val="1"/>
    <w:rsid w:val="00FF16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unhideWhenUsed/>
    <w:rsid w:val="00D86945"/>
    <w:rPr>
      <w:color w:val="808080"/>
    </w:rPr>
  </w:style>
  <w:style w:type="table" w:styleId="Tblzatrcsos43jellszn">
    <w:name w:val="Grid Table 4 Accent 3"/>
    <w:basedOn w:val="Normltblzat"/>
    <w:uiPriority w:val="49"/>
    <w:rsid w:val="0002616A"/>
    <w:pPr>
      <w:spacing w:line="240" w:lineRule="auto"/>
    </w:pPr>
    <w:tblPr>
      <w:tblStyleRowBandSize w:val="1"/>
      <w:tblStyleColBandSize w:val="1"/>
      <w:tblBorders>
        <w:top w:val="single" w:sz="4" w:space="0" w:color="7AD6CF" w:themeColor="accent3" w:themeTint="99"/>
        <w:left w:val="single" w:sz="4" w:space="0" w:color="7AD6CF" w:themeColor="accent3" w:themeTint="99"/>
        <w:bottom w:val="single" w:sz="4" w:space="0" w:color="7AD6CF" w:themeColor="accent3" w:themeTint="99"/>
        <w:right w:val="single" w:sz="4" w:space="0" w:color="7AD6CF" w:themeColor="accent3" w:themeTint="99"/>
        <w:insideH w:val="single" w:sz="4" w:space="0" w:color="7AD6CF" w:themeColor="accent3" w:themeTint="99"/>
        <w:insideV w:val="single" w:sz="4" w:space="0" w:color="7AD6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BA2" w:themeColor="accent3"/>
          <w:left w:val="single" w:sz="4" w:space="0" w:color="34ABA2" w:themeColor="accent3"/>
          <w:bottom w:val="single" w:sz="4" w:space="0" w:color="34ABA2" w:themeColor="accent3"/>
          <w:right w:val="single" w:sz="4" w:space="0" w:color="34ABA2" w:themeColor="accent3"/>
          <w:insideH w:val="nil"/>
          <w:insideV w:val="nil"/>
        </w:tcBorders>
        <w:shd w:val="clear" w:color="auto" w:fill="34ABA2" w:themeFill="accent3"/>
      </w:tcPr>
    </w:tblStylePr>
    <w:tblStylePr w:type="lastRow">
      <w:rPr>
        <w:b/>
        <w:bCs/>
      </w:rPr>
      <w:tblPr/>
      <w:tcPr>
        <w:tcBorders>
          <w:top w:val="double" w:sz="4" w:space="0" w:color="34AB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3" w:themeFillTint="33"/>
      </w:tcPr>
    </w:tblStylePr>
    <w:tblStylePr w:type="band1Horz">
      <w:tblPr/>
      <w:tcPr>
        <w:shd w:val="clear" w:color="auto" w:fill="D2F1EF" w:themeFill="accent3" w:themeFillTint="33"/>
      </w:tcPr>
    </w:tblStylePr>
  </w:style>
  <w:style w:type="paragraph" w:styleId="Listaszerbekezds">
    <w:name w:val="List Paragraph"/>
    <w:basedOn w:val="Norml"/>
    <w:uiPriority w:val="34"/>
    <w:unhideWhenUsed/>
    <w:qFormat/>
    <w:rsid w:val="00D219F1"/>
    <w:pPr>
      <w:ind w:left="720"/>
      <w:contextualSpacing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34ABA2"/>
          <w:left w:val="single" w:sz="4" w:space="0" w:color="34ABA2"/>
          <w:bottom w:val="single" w:sz="4" w:space="0" w:color="34ABA2"/>
          <w:right w:val="single" w:sz="4" w:space="0" w:color="34ABA2"/>
          <w:insideH w:val="nil"/>
          <w:insideV w:val="nil"/>
        </w:tcBorders>
        <w:shd w:val="clear" w:color="auto" w:fill="34ABA2"/>
      </w:tcPr>
    </w:tblStylePr>
    <w:tblStylePr w:type="lastRow">
      <w:rPr>
        <w:b/>
      </w:rPr>
      <w:tblPr/>
      <w:tcPr>
        <w:tcBorders>
          <w:top w:val="single" w:sz="4" w:space="0" w:color="34AB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F1EF"/>
      </w:tcPr>
    </w:tblStylePr>
    <w:tblStylePr w:type="band1Horz">
      <w:tblPr/>
      <w:tcPr>
        <w:shd w:val="clear" w:color="auto" w:fill="D2F1EF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image" Target="media/image8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4.png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uRH2+KWOKG1pgpuXAufi6cASuA==">AMUW2mXoz+uHocfqVWcGMEPVkedFj3kbpvf8ABHgTB5MM4gBXFATJ1BMMgtqss7l8ObYisOrKD+2VoMikUKpcy0gzDjGkMTrrlW7YYw+GvhCJpTuHvxARi60ZAJAWZXGIRg5UexnjzoE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957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3</cp:revision>
  <cp:lastPrinted>2022-08-23T18:14:00Z</cp:lastPrinted>
  <dcterms:created xsi:type="dcterms:W3CDTF">2021-06-11T09:33:00Z</dcterms:created>
  <dcterms:modified xsi:type="dcterms:W3CDTF">2022-08-23T18:16:00Z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