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E" w:rsidRPr="00513F97" w:rsidRDefault="006277E9" w:rsidP="00513F97">
      <w:pPr>
        <w:jc w:val="center"/>
        <w:rPr>
          <w:b/>
          <w:sz w:val="56"/>
          <w:szCs w:val="56"/>
        </w:rPr>
      </w:pPr>
      <w:r w:rsidRPr="00513F97">
        <w:rPr>
          <w:b/>
          <w:sz w:val="56"/>
          <w:szCs w:val="56"/>
        </w:rPr>
        <w:t>T</w:t>
      </w:r>
      <w:r w:rsidR="00915CDF">
        <w:rPr>
          <w:b/>
          <w:sz w:val="56"/>
          <w:szCs w:val="56"/>
        </w:rPr>
        <w:t>ÉMÁK</w:t>
      </w:r>
      <w:r w:rsidR="00FB1103">
        <w:rPr>
          <w:b/>
          <w:sz w:val="56"/>
          <w:szCs w:val="56"/>
        </w:rPr>
        <w:t>, KÖVETELMÉNYEK</w:t>
      </w:r>
    </w:p>
    <w:p w:rsidR="006277E9" w:rsidRPr="00513F97" w:rsidRDefault="006277E9" w:rsidP="00513F97">
      <w:pPr>
        <w:jc w:val="center"/>
        <w:rPr>
          <w:b/>
          <w:sz w:val="36"/>
          <w:szCs w:val="36"/>
        </w:rPr>
      </w:pPr>
      <w:r w:rsidRPr="00513F97">
        <w:rPr>
          <w:b/>
          <w:sz w:val="36"/>
          <w:szCs w:val="36"/>
        </w:rPr>
        <w:t xml:space="preserve">PÉNZÜGY </w:t>
      </w:r>
      <w:proofErr w:type="spellStart"/>
      <w:r w:rsidRPr="00513F97">
        <w:rPr>
          <w:b/>
          <w:sz w:val="36"/>
          <w:szCs w:val="36"/>
        </w:rPr>
        <w:t>TANTÁRGY</w:t>
      </w:r>
      <w:r w:rsidR="00915CDF">
        <w:rPr>
          <w:b/>
          <w:sz w:val="36"/>
          <w:szCs w:val="36"/>
        </w:rPr>
        <w:t>-ból</w:t>
      </w:r>
      <w:proofErr w:type="spellEnd"/>
    </w:p>
    <w:p w:rsidR="006277E9" w:rsidRPr="00513F97" w:rsidRDefault="006277E9" w:rsidP="00513F97">
      <w:pPr>
        <w:jc w:val="center"/>
        <w:rPr>
          <w:sz w:val="32"/>
          <w:szCs w:val="32"/>
        </w:rPr>
      </w:pPr>
      <w:r w:rsidRPr="00513F97">
        <w:rPr>
          <w:sz w:val="32"/>
          <w:szCs w:val="32"/>
        </w:rPr>
        <w:t>2023/2024-es tanév</w:t>
      </w:r>
    </w:p>
    <w:p w:rsidR="006277E9" w:rsidRPr="00513F97" w:rsidRDefault="00915CDF" w:rsidP="00513F97">
      <w:pPr>
        <w:jc w:val="center"/>
        <w:rPr>
          <w:b/>
        </w:rPr>
      </w:pPr>
      <w:r>
        <w:rPr>
          <w:b/>
        </w:rPr>
        <w:t>12. évfolyam</w:t>
      </w:r>
    </w:p>
    <w:p w:rsidR="00513F97" w:rsidRDefault="00513F97"/>
    <w:p w:rsidR="006277E9" w:rsidRPr="00932CE4" w:rsidRDefault="006277E9" w:rsidP="00932CE4">
      <w:pPr>
        <w:spacing w:line="360" w:lineRule="auto"/>
        <w:rPr>
          <w:sz w:val="24"/>
        </w:rPr>
      </w:pPr>
      <w:r w:rsidRPr="00932CE4">
        <w:rPr>
          <w:b/>
          <w:sz w:val="24"/>
        </w:rPr>
        <w:t>Tanár:</w:t>
      </w:r>
      <w:r w:rsidRPr="00932CE4">
        <w:rPr>
          <w:sz w:val="24"/>
        </w:rPr>
        <w:t xml:space="preserve"> Nagyné </w:t>
      </w:r>
      <w:proofErr w:type="spellStart"/>
      <w:r w:rsidRPr="00932CE4">
        <w:rPr>
          <w:sz w:val="24"/>
        </w:rPr>
        <w:t>Usztinov</w:t>
      </w:r>
      <w:proofErr w:type="spellEnd"/>
      <w:r w:rsidRPr="00932CE4">
        <w:rPr>
          <w:sz w:val="24"/>
        </w:rPr>
        <w:t xml:space="preserve"> Judit</w:t>
      </w:r>
    </w:p>
    <w:p w:rsidR="006277E9" w:rsidRPr="00932CE4" w:rsidRDefault="006277E9" w:rsidP="00932CE4">
      <w:pPr>
        <w:spacing w:line="360" w:lineRule="auto"/>
        <w:rPr>
          <w:sz w:val="24"/>
        </w:rPr>
      </w:pPr>
      <w:r w:rsidRPr="00932CE4">
        <w:rPr>
          <w:b/>
          <w:sz w:val="24"/>
        </w:rPr>
        <w:t>Tankönyv:</w:t>
      </w:r>
      <w:r w:rsidRPr="00932CE4">
        <w:rPr>
          <w:sz w:val="24"/>
        </w:rPr>
        <w:t xml:space="preserve"> D</w:t>
      </w:r>
      <w:r w:rsidR="006F2F91" w:rsidRPr="00932CE4">
        <w:rPr>
          <w:sz w:val="24"/>
        </w:rPr>
        <w:t>r. Horváth Zsuzsanna: Pénzügy I – II.</w:t>
      </w:r>
      <w:r w:rsidR="00244D1A" w:rsidRPr="00932CE4">
        <w:rPr>
          <w:sz w:val="24"/>
        </w:rPr>
        <w:t xml:space="preserve"> (A vállalkozások általános pénzügyei</w:t>
      </w:r>
      <w:r w:rsidR="006F2F91" w:rsidRPr="00932CE4">
        <w:rPr>
          <w:sz w:val="24"/>
        </w:rPr>
        <w:t>, Vállalkozások finanszírozása</w:t>
      </w:r>
      <w:r w:rsidR="00244D1A" w:rsidRPr="00932CE4">
        <w:rPr>
          <w:sz w:val="24"/>
        </w:rPr>
        <w:t>)</w:t>
      </w:r>
    </w:p>
    <w:p w:rsidR="00244D1A" w:rsidRPr="00932CE4" w:rsidRDefault="00513F97" w:rsidP="00932CE4">
      <w:pPr>
        <w:spacing w:line="360" w:lineRule="auto"/>
        <w:rPr>
          <w:sz w:val="24"/>
        </w:rPr>
      </w:pPr>
      <w:r w:rsidRPr="00932CE4">
        <w:rPr>
          <w:b/>
          <w:sz w:val="24"/>
        </w:rPr>
        <w:t>Példatár:</w:t>
      </w:r>
      <w:r w:rsidR="00244D1A" w:rsidRPr="00932CE4">
        <w:rPr>
          <w:sz w:val="24"/>
        </w:rPr>
        <w:t xml:space="preserve"> </w:t>
      </w:r>
      <w:proofErr w:type="spellStart"/>
      <w:r w:rsidR="00244D1A" w:rsidRPr="00932CE4">
        <w:rPr>
          <w:sz w:val="24"/>
        </w:rPr>
        <w:t>Ivándyné</w:t>
      </w:r>
      <w:proofErr w:type="spellEnd"/>
      <w:r w:rsidR="00244D1A" w:rsidRPr="00932CE4">
        <w:rPr>
          <w:sz w:val="24"/>
        </w:rPr>
        <w:t xml:space="preserve"> Mezei Ildikó: Pénzügy gyakorlat (MKK)</w:t>
      </w:r>
      <w:r w:rsidR="006F2F91" w:rsidRPr="00932CE4">
        <w:rPr>
          <w:sz w:val="24"/>
        </w:rPr>
        <w:t>, Dr. Horváth Zsuzsanna: Példatár és feladatgyűjtemény a Pénzügy II. című tankönyvhöz</w:t>
      </w:r>
    </w:p>
    <w:p w:rsidR="006277E9" w:rsidRPr="00932CE4" w:rsidRDefault="006277E9" w:rsidP="00932CE4">
      <w:pPr>
        <w:spacing w:line="360" w:lineRule="auto"/>
        <w:rPr>
          <w:sz w:val="24"/>
        </w:rPr>
      </w:pPr>
      <w:r w:rsidRPr="00932CE4">
        <w:rPr>
          <w:b/>
          <w:sz w:val="24"/>
        </w:rPr>
        <w:t>Óraszám:</w:t>
      </w:r>
      <w:r w:rsidRPr="00932CE4">
        <w:rPr>
          <w:sz w:val="24"/>
        </w:rPr>
        <w:t xml:space="preserve"> heti 2 óra elmélet, 2 óra gyakorlat – évi 72 óra elmélet, valamint ugyanennyi gyakorlati óra</w:t>
      </w:r>
    </w:p>
    <w:p w:rsidR="006277E9" w:rsidRPr="00932CE4" w:rsidRDefault="006277E9" w:rsidP="00932CE4">
      <w:pPr>
        <w:spacing w:line="360" w:lineRule="auto"/>
        <w:jc w:val="both"/>
        <w:rPr>
          <w:sz w:val="24"/>
        </w:rPr>
      </w:pPr>
      <w:r w:rsidRPr="00932CE4">
        <w:rPr>
          <w:sz w:val="24"/>
        </w:rPr>
        <w:t>A tantárgy a következő területeket hivatott fejleszteni:</w:t>
      </w:r>
    </w:p>
    <w:p w:rsidR="006277E9" w:rsidRPr="00932CE4" w:rsidRDefault="00244D1A" w:rsidP="00932CE4">
      <w:pPr>
        <w:spacing w:line="360" w:lineRule="auto"/>
        <w:jc w:val="both"/>
        <w:rPr>
          <w:sz w:val="24"/>
        </w:rPr>
      </w:pPr>
      <w:r w:rsidRPr="00932CE4">
        <w:rPr>
          <w:sz w:val="24"/>
        </w:rPr>
        <w:t>A tanuló e</w:t>
      </w:r>
      <w:r w:rsidR="006277E9" w:rsidRPr="00932CE4">
        <w:rPr>
          <w:sz w:val="24"/>
        </w:rPr>
        <w:t>l</w:t>
      </w:r>
      <w:r w:rsidRPr="00932CE4">
        <w:rPr>
          <w:sz w:val="24"/>
        </w:rPr>
        <w:t xml:space="preserve"> tudja </w:t>
      </w:r>
      <w:r w:rsidR="006277E9" w:rsidRPr="00932CE4">
        <w:rPr>
          <w:sz w:val="24"/>
        </w:rPr>
        <w:t>vég</w:t>
      </w:r>
      <w:r w:rsidRPr="00932CE4">
        <w:rPr>
          <w:sz w:val="24"/>
        </w:rPr>
        <w:t>e</w:t>
      </w:r>
      <w:r w:rsidR="006277E9" w:rsidRPr="00932CE4">
        <w:rPr>
          <w:sz w:val="24"/>
        </w:rPr>
        <w:t>z</w:t>
      </w:r>
      <w:r w:rsidRPr="00932CE4">
        <w:rPr>
          <w:sz w:val="24"/>
        </w:rPr>
        <w:t>n</w:t>
      </w:r>
      <w:r w:rsidR="006277E9" w:rsidRPr="00932CE4">
        <w:rPr>
          <w:sz w:val="24"/>
        </w:rPr>
        <w:t>i az alapvető befektetési számításokat. Ismeri a pénzügyi piacok működését és az értékpapírok típusait. Érti az alapvető befektetési számítások alkalmazási</w:t>
      </w:r>
      <w:r w:rsidRPr="00932CE4">
        <w:rPr>
          <w:sz w:val="24"/>
        </w:rPr>
        <w:t xml:space="preserve"> </w:t>
      </w:r>
      <w:r w:rsidR="006277E9" w:rsidRPr="00932CE4">
        <w:rPr>
          <w:sz w:val="24"/>
        </w:rPr>
        <w:t>lehetőségeit.</w:t>
      </w:r>
      <w:r w:rsidRPr="00932CE4">
        <w:rPr>
          <w:sz w:val="24"/>
        </w:rPr>
        <w:t xml:space="preserve"> Képes a</w:t>
      </w:r>
      <w:r w:rsidR="006277E9" w:rsidRPr="00932CE4">
        <w:rPr>
          <w:sz w:val="24"/>
        </w:rPr>
        <w:t>datokat szolgáltat</w:t>
      </w:r>
      <w:r w:rsidRPr="00932CE4">
        <w:rPr>
          <w:sz w:val="24"/>
        </w:rPr>
        <w:t>ni</w:t>
      </w:r>
      <w:r w:rsidR="006277E9" w:rsidRPr="00932CE4">
        <w:rPr>
          <w:sz w:val="24"/>
        </w:rPr>
        <w:t xml:space="preserve"> a finanszírozási döntésekhez.</w:t>
      </w:r>
      <w:r w:rsidRPr="00932CE4">
        <w:rPr>
          <w:sz w:val="24"/>
        </w:rPr>
        <w:t xml:space="preserve"> </w:t>
      </w:r>
      <w:r w:rsidR="006277E9" w:rsidRPr="00932CE4">
        <w:rPr>
          <w:sz w:val="24"/>
        </w:rPr>
        <w:t>Ismeri a finanszírozási döntésekhez szükséges információforrásokat.</w:t>
      </w:r>
      <w:r w:rsidRPr="00932CE4">
        <w:rPr>
          <w:sz w:val="24"/>
        </w:rPr>
        <w:t xml:space="preserve"> </w:t>
      </w:r>
      <w:r w:rsidR="006277E9" w:rsidRPr="00932CE4">
        <w:rPr>
          <w:sz w:val="24"/>
        </w:rPr>
        <w:t>Közre</w:t>
      </w:r>
      <w:r w:rsidRPr="00932CE4">
        <w:rPr>
          <w:sz w:val="24"/>
        </w:rPr>
        <w:t xml:space="preserve"> </w:t>
      </w:r>
      <w:proofErr w:type="gramStart"/>
      <w:r w:rsidRPr="00932CE4">
        <w:rPr>
          <w:sz w:val="24"/>
        </w:rPr>
        <w:t>tud</w:t>
      </w:r>
      <w:proofErr w:type="gramEnd"/>
      <w:r w:rsidRPr="00932CE4">
        <w:rPr>
          <w:sz w:val="24"/>
        </w:rPr>
        <w:t xml:space="preserve"> </w:t>
      </w:r>
      <w:r w:rsidR="006277E9" w:rsidRPr="00932CE4">
        <w:rPr>
          <w:sz w:val="24"/>
        </w:rPr>
        <w:t xml:space="preserve">működik a befektetési döntések előkészítésében. </w:t>
      </w:r>
      <w:r w:rsidRPr="00932CE4">
        <w:rPr>
          <w:sz w:val="24"/>
        </w:rPr>
        <w:t xml:space="preserve">Rendelkezik ismeretekkel </w:t>
      </w:r>
      <w:r w:rsidR="006277E9" w:rsidRPr="00932CE4">
        <w:rPr>
          <w:sz w:val="24"/>
        </w:rPr>
        <w:t>a beruházások pénzügyi forrás</w:t>
      </w:r>
      <w:r w:rsidRPr="00932CE4">
        <w:rPr>
          <w:sz w:val="24"/>
        </w:rPr>
        <w:t>-</w:t>
      </w:r>
      <w:r w:rsidR="006277E9" w:rsidRPr="00932CE4">
        <w:rPr>
          <w:sz w:val="24"/>
        </w:rPr>
        <w:t>lehetőségei</w:t>
      </w:r>
      <w:r w:rsidRPr="00932CE4">
        <w:rPr>
          <w:sz w:val="24"/>
        </w:rPr>
        <w:t>ről</w:t>
      </w:r>
      <w:r w:rsidR="006277E9" w:rsidRPr="00932CE4">
        <w:rPr>
          <w:sz w:val="24"/>
        </w:rPr>
        <w:t>. Részt</w:t>
      </w:r>
      <w:r w:rsidRPr="00932CE4">
        <w:rPr>
          <w:sz w:val="24"/>
        </w:rPr>
        <w:t xml:space="preserve"> tud venni</w:t>
      </w:r>
      <w:r w:rsidR="006277E9" w:rsidRPr="00932CE4">
        <w:rPr>
          <w:sz w:val="24"/>
        </w:rPr>
        <w:t xml:space="preserve"> a pályázatok, </w:t>
      </w:r>
      <w:r w:rsidRPr="00932CE4">
        <w:rPr>
          <w:sz w:val="24"/>
        </w:rPr>
        <w:t xml:space="preserve">készítésében, </w:t>
      </w:r>
      <w:r w:rsidR="006277E9" w:rsidRPr="00932CE4">
        <w:rPr>
          <w:sz w:val="24"/>
        </w:rPr>
        <w:t xml:space="preserve">projekttámogatások </w:t>
      </w:r>
      <w:r w:rsidRPr="00932CE4">
        <w:rPr>
          <w:sz w:val="24"/>
        </w:rPr>
        <w:t>lehívásában, ezek</w:t>
      </w:r>
      <w:r w:rsidR="006277E9" w:rsidRPr="00932CE4">
        <w:rPr>
          <w:sz w:val="24"/>
        </w:rPr>
        <w:t xml:space="preserve"> nyilvántartásában, elszámolásában. Ismeri a projektek támogatási forráslehetőségeit.</w:t>
      </w:r>
    </w:p>
    <w:p w:rsidR="00915CDF" w:rsidRDefault="00915CDF" w:rsidP="00513F97">
      <w:pPr>
        <w:jc w:val="both"/>
      </w:pPr>
      <w:bookmarkStart w:id="0" w:name="_GoBack"/>
      <w:bookmarkEnd w:id="0"/>
    </w:p>
    <w:p w:rsidR="00932CE4" w:rsidRDefault="00932CE4">
      <w:pPr>
        <w:rPr>
          <w:b/>
        </w:rPr>
      </w:pPr>
      <w:r>
        <w:rPr>
          <w:b/>
        </w:rPr>
        <w:br w:type="page"/>
      </w:r>
    </w:p>
    <w:p w:rsidR="00D0035D" w:rsidRPr="00915CDF" w:rsidRDefault="00513F97" w:rsidP="00513F97">
      <w:pPr>
        <w:jc w:val="both"/>
        <w:rPr>
          <w:b/>
        </w:rPr>
      </w:pPr>
      <w:r w:rsidRPr="00915CDF">
        <w:rPr>
          <w:b/>
        </w:rPr>
        <w:lastRenderedPageBreak/>
        <w:t>A tantárgy elméleti</w:t>
      </w:r>
      <w:r w:rsidR="00915CDF" w:rsidRPr="00915CDF">
        <w:rPr>
          <w:b/>
        </w:rPr>
        <w:t xml:space="preserve"> témái:</w:t>
      </w:r>
    </w:p>
    <w:tbl>
      <w:tblPr>
        <w:tblStyle w:val="Rcsostblzat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3255"/>
        <w:gridCol w:w="5522"/>
      </w:tblGrid>
      <w:tr w:rsidR="00915CDF" w:rsidRPr="00D0035D" w:rsidTr="00915CDF">
        <w:trPr>
          <w:trHeight w:val="540"/>
          <w:jc w:val="center"/>
        </w:trPr>
        <w:tc>
          <w:tcPr>
            <w:tcW w:w="3255" w:type="dxa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  <w:sz w:val="24"/>
                <w:szCs w:val="24"/>
              </w:rPr>
            </w:pPr>
            <w:r w:rsidRPr="00D0035D">
              <w:rPr>
                <w:b/>
                <w:bCs/>
                <w:sz w:val="24"/>
                <w:szCs w:val="24"/>
              </w:rPr>
              <w:t>Témakörök</w:t>
            </w:r>
          </w:p>
        </w:tc>
        <w:tc>
          <w:tcPr>
            <w:tcW w:w="5522" w:type="dxa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  <w:sz w:val="24"/>
                <w:szCs w:val="24"/>
              </w:rPr>
            </w:pPr>
            <w:r w:rsidRPr="00D0035D">
              <w:rPr>
                <w:b/>
                <w:bCs/>
                <w:sz w:val="24"/>
                <w:szCs w:val="24"/>
              </w:rPr>
              <w:t>Részletek, blokkok témája</w:t>
            </w:r>
          </w:p>
        </w:tc>
      </w:tr>
      <w:tr w:rsidR="00915CDF" w:rsidRPr="00D0035D" w:rsidTr="00915CDF">
        <w:trPr>
          <w:trHeight w:val="945"/>
          <w:jc w:val="center"/>
        </w:trPr>
        <w:tc>
          <w:tcPr>
            <w:tcW w:w="3255" w:type="dxa"/>
            <w:vMerge w:val="restart"/>
            <w:noWrap/>
            <w:hideMark/>
          </w:tcPr>
          <w:p w:rsidR="00915CDF" w:rsidRPr="00D0035D" w:rsidRDefault="00915CDF" w:rsidP="00915CDF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 xml:space="preserve">Pénzügyi piacok és termékeik </w:t>
            </w: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pénzügyi rendszer szerepe a gazdaságban; pénz - és tőkepiac, nyílt- és zárt piac, elsődleges - és másodlagos piac, azonnali- és határidős piac; Az értékpapírok fogalma, fajtái, csoportosításuk</w:t>
            </w:r>
          </w:p>
        </w:tc>
      </w:tr>
      <w:tr w:rsidR="00915CDF" w:rsidRPr="00D0035D" w:rsidTr="00915CDF">
        <w:trPr>
          <w:trHeight w:val="100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kötvény fogalma, jellemzői, fajtái, a vállalati kötvény pénzügyi piacon betöltött szerepük; reális árfolyam, piaci árfolyam, hozam (névleges, egyszerű)</w:t>
            </w:r>
          </w:p>
        </w:tc>
      </w:tr>
      <w:tr w:rsidR="00915CDF" w:rsidRPr="00D0035D" w:rsidTr="00915CDF">
        <w:trPr>
          <w:trHeight w:val="99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3420D8">
            <w:r w:rsidRPr="00D0035D">
              <w:t>A részvény fogalma, fajtái, jellemzői, a részvények szerepe a gazdaságban, részvényárfolyamok; törzsrészvény, elsőbbségi részvény</w:t>
            </w:r>
          </w:p>
        </w:tc>
      </w:tr>
      <w:tr w:rsidR="00915CDF" w:rsidRPr="00D0035D" w:rsidTr="00915CDF">
        <w:trPr>
          <w:trHeight w:val="63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3420D8">
            <w:r w:rsidRPr="00D0035D">
              <w:t>Egyéb értékpapírok: közraktárjegy, állampapírok, banki értékpapírok, váltó</w:t>
            </w:r>
          </w:p>
        </w:tc>
      </w:tr>
      <w:tr w:rsidR="00915CDF" w:rsidRPr="00D0035D" w:rsidTr="00B735FE">
        <w:trPr>
          <w:trHeight w:val="97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Értékpapírpiacok, tőzsde: tőzsdei ügyletek, prompt és termin ügyletek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255" w:type="dxa"/>
            <w:vMerge w:val="restart"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A vállalkozások pénz</w:t>
            </w:r>
            <w:r>
              <w:rPr>
                <w:b/>
                <w:bCs/>
              </w:rPr>
              <w:t xml:space="preserve">ügyi teljesítményének mérése </w:t>
            </w:r>
          </w:p>
        </w:tc>
        <w:tc>
          <w:tcPr>
            <w:tcW w:w="552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pénzügyi mutatók főbb fajtái, jelentőségük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teljesítménymutatókból nyerhető információk</w:t>
            </w:r>
          </w:p>
        </w:tc>
      </w:tr>
      <w:tr w:rsidR="00915CDF" w:rsidRPr="00D0035D" w:rsidTr="007E001D">
        <w:trPr>
          <w:trHeight w:val="65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Elemzés állományi és folyamatszemléletben</w:t>
            </w:r>
          </w:p>
        </w:tc>
      </w:tr>
      <w:tr w:rsidR="00915CDF" w:rsidRPr="00D0035D" w:rsidTr="00915CDF">
        <w:trPr>
          <w:trHeight w:val="630"/>
          <w:jc w:val="center"/>
        </w:trPr>
        <w:tc>
          <w:tcPr>
            <w:tcW w:w="3255" w:type="dxa"/>
            <w:vMerge w:val="restart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A v</w:t>
            </w:r>
            <w:r>
              <w:rPr>
                <w:b/>
                <w:bCs/>
              </w:rPr>
              <w:t xml:space="preserve">állalkozások finanszírozása </w:t>
            </w: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finanszírozás fogalma, jellemzői, formái; finanszírozási stratégiák, illeszkedési elv</w:t>
            </w:r>
          </w:p>
        </w:tc>
      </w:tr>
      <w:tr w:rsidR="00915CDF" w:rsidRPr="00D0035D" w:rsidTr="00915CDF">
        <w:trPr>
          <w:trHeight w:val="133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beruházások finanszírozási forrásai: belső-, külső forrásból történő finanszírozás: rövid lejáratú bankhitel és típusai, kereskedelmi hitel (vevőktől kapott előleg, áruhitel), váltótartozás, faktoring, tartós passzívák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Üzletfinanszírozás</w:t>
            </w:r>
          </w:p>
        </w:tc>
      </w:tr>
      <w:tr w:rsidR="00915CDF" w:rsidRPr="00D0035D" w:rsidTr="00915CDF">
        <w:trPr>
          <w:trHeight w:val="63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projekttámogatások: kis- és középvállalkozások gazdaságfejlesztést szolgáló támogatásai</w:t>
            </w:r>
          </w:p>
        </w:tc>
      </w:tr>
      <w:tr w:rsidR="00915CDF" w:rsidRPr="00D0035D" w:rsidTr="00915CDF">
        <w:trPr>
          <w:trHeight w:val="72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EU-s támogatási források, a pályázatírás és a pénzügyi tervezés kapcsolata, pályázati adminisztráció</w:t>
            </w:r>
          </w:p>
        </w:tc>
      </w:tr>
      <w:tr w:rsidR="00915CDF" w:rsidRPr="00D0035D" w:rsidTr="00AC4BF0">
        <w:trPr>
          <w:trHeight w:val="65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Iratanyagok, dokumentumok kezelése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255" w:type="dxa"/>
            <w:vMerge w:val="restart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Befektetések értékelése </w:t>
            </w: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Befektetési döntések típusai</w:t>
            </w:r>
          </w:p>
        </w:tc>
      </w:tr>
      <w:tr w:rsidR="00915CDF" w:rsidRPr="00D0035D" w:rsidTr="00915CDF">
        <w:trPr>
          <w:trHeight w:val="72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beruházások pénzáramai, típusai (kezdő pénzáram, működési pénzáram és végső pénzáram) és tartalmuk</w:t>
            </w:r>
          </w:p>
        </w:tc>
      </w:tr>
      <w:tr w:rsidR="00915CDF" w:rsidRPr="00D0035D" w:rsidTr="00915CDF">
        <w:trPr>
          <w:trHeight w:val="405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Ismétlés: nettó jelenérték, belső megtérülési ráta</w:t>
            </w:r>
          </w:p>
        </w:tc>
      </w:tr>
      <w:tr w:rsidR="00915CDF" w:rsidRPr="00D0035D" w:rsidTr="00210865">
        <w:trPr>
          <w:trHeight w:val="970"/>
          <w:jc w:val="center"/>
        </w:trPr>
        <w:tc>
          <w:tcPr>
            <w:tcW w:w="3255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Döntési szabályok a beruházás megvalósítására vagy elutasítására vonatkozóan</w:t>
            </w:r>
          </w:p>
        </w:tc>
      </w:tr>
    </w:tbl>
    <w:p w:rsidR="006277E9" w:rsidRPr="00915CDF" w:rsidRDefault="00513F97" w:rsidP="00513F97">
      <w:pPr>
        <w:jc w:val="both"/>
        <w:rPr>
          <w:b/>
        </w:rPr>
      </w:pPr>
      <w:r w:rsidRPr="00915CDF">
        <w:rPr>
          <w:b/>
        </w:rPr>
        <w:lastRenderedPageBreak/>
        <w:t>A tantárgy gy</w:t>
      </w:r>
      <w:r w:rsidR="00915CDF" w:rsidRPr="00915CDF">
        <w:rPr>
          <w:b/>
        </w:rPr>
        <w:t>akorlati témakörei:</w:t>
      </w:r>
    </w:p>
    <w:tbl>
      <w:tblPr>
        <w:tblStyle w:val="Rcsostblzat"/>
        <w:tblW w:w="0" w:type="auto"/>
        <w:jc w:val="center"/>
        <w:tblInd w:w="-347" w:type="dxa"/>
        <w:tblLook w:val="04A0" w:firstRow="1" w:lastRow="0" w:firstColumn="1" w:lastColumn="0" w:noHBand="0" w:noVBand="1"/>
      </w:tblPr>
      <w:tblGrid>
        <w:gridCol w:w="3033"/>
        <w:gridCol w:w="5582"/>
      </w:tblGrid>
      <w:tr w:rsidR="00915CDF" w:rsidRPr="00D0035D" w:rsidTr="00915CDF">
        <w:trPr>
          <w:trHeight w:val="570"/>
          <w:jc w:val="center"/>
        </w:trPr>
        <w:tc>
          <w:tcPr>
            <w:tcW w:w="3033" w:type="dxa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Témakörök</w:t>
            </w: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Részletek, blokkok témája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 w:val="restart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énzügyi piacok és termékeik </w:t>
            </w: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proofErr w:type="gramStart"/>
            <w:r w:rsidRPr="00D0035D">
              <w:t>Érté</w:t>
            </w:r>
            <w:r>
              <w:t>kpapír-hozam számítás</w:t>
            </w:r>
            <w:proofErr w:type="gramEnd"/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kötvények értékelése</w:t>
            </w:r>
          </w:p>
        </w:tc>
      </w:tr>
      <w:tr w:rsidR="00915CDF" w:rsidRPr="00D0035D" w:rsidTr="00342197">
        <w:trPr>
          <w:trHeight w:val="65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>
              <w:t>R</w:t>
            </w:r>
            <w:r w:rsidRPr="00D0035D">
              <w:t>észvények értékelése</w:t>
            </w:r>
          </w:p>
        </w:tc>
      </w:tr>
      <w:tr w:rsidR="00915CDF" w:rsidRPr="00D0035D" w:rsidTr="00915CDF">
        <w:trPr>
          <w:trHeight w:val="360"/>
          <w:jc w:val="center"/>
        </w:trPr>
        <w:tc>
          <w:tcPr>
            <w:tcW w:w="3033" w:type="dxa"/>
            <w:vMerge w:val="restart"/>
            <w:hideMark/>
          </w:tcPr>
          <w:p w:rsidR="00915CDF" w:rsidRPr="00D0035D" w:rsidRDefault="00915CDF" w:rsidP="00915CDF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A vállalkozások pénzügyi teljesítményének mérése</w:t>
            </w: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Vagyon - és tőkestruktúra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Hatékonysági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Jövedelmezőségi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Eladósodottsági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 xml:space="preserve">Pénzügyi </w:t>
            </w:r>
            <w:proofErr w:type="gramStart"/>
            <w:r w:rsidRPr="00D0035D">
              <w:t>egyensúly mutatók</w:t>
            </w:r>
            <w:proofErr w:type="gramEnd"/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Piaci érték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Elemzés állományi és folyamatszemléletben</w:t>
            </w:r>
          </w:p>
        </w:tc>
      </w:tr>
      <w:tr w:rsidR="00915CDF" w:rsidRPr="00D0035D" w:rsidTr="00D4229A">
        <w:trPr>
          <w:trHeight w:val="65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915CDF">
            <w:pPr>
              <w:jc w:val="both"/>
            </w:pPr>
            <w:r>
              <w:t>A</w:t>
            </w:r>
            <w:r w:rsidRPr="00D0035D">
              <w:t xml:space="preserve"> mutatók értelmezése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 w:val="restart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 w:rsidRPr="00D0035D">
              <w:rPr>
                <w:b/>
                <w:bCs/>
              </w:rPr>
              <w:t>A v</w:t>
            </w:r>
            <w:r>
              <w:rPr>
                <w:b/>
                <w:bCs/>
              </w:rPr>
              <w:t xml:space="preserve">állalkozások finanszírozása </w:t>
            </w: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Pénzügyi tervezés és a tervek csoportjai</w:t>
            </w:r>
          </w:p>
        </w:tc>
      </w:tr>
      <w:tr w:rsidR="00915CDF" w:rsidRPr="00D0035D" w:rsidTr="00915CDF">
        <w:trPr>
          <w:trHeight w:val="600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Állományi (státusz) és forgalmi szemléletű terv: mérlegterv, likviditási terv</w:t>
            </w:r>
          </w:p>
        </w:tc>
      </w:tr>
      <w:tr w:rsidR="00915CDF" w:rsidRPr="00D0035D" w:rsidTr="00915CDF">
        <w:trPr>
          <w:trHeight w:val="390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A pénzügyi tervek egyenlegének ismeretében hozott intézkedések</w:t>
            </w:r>
          </w:p>
        </w:tc>
      </w:tr>
      <w:tr w:rsidR="00915CDF" w:rsidRPr="00D0035D" w:rsidTr="00915CDF">
        <w:trPr>
          <w:trHeight w:val="600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Forgóeszköz-szükséglet megállapításának módjai (forgási mutatók, mérlegmódszer alkalmazásával)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noWrap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Forgóeszköz-finanszírozás</w:t>
            </w:r>
          </w:p>
        </w:tc>
      </w:tr>
      <w:tr w:rsidR="00915CDF" w:rsidRPr="00D0035D" w:rsidTr="00A07ADB">
        <w:trPr>
          <w:trHeight w:val="640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915CDF">
            <w:pPr>
              <w:jc w:val="both"/>
            </w:pPr>
            <w:r>
              <w:t>A</w:t>
            </w:r>
            <w:r w:rsidRPr="00D0035D">
              <w:t xml:space="preserve"> mutatók</w:t>
            </w:r>
            <w:r>
              <w:t xml:space="preserve"> </w:t>
            </w:r>
            <w:r w:rsidRPr="00D0035D">
              <w:t>értelmezése</w:t>
            </w:r>
          </w:p>
        </w:tc>
      </w:tr>
      <w:tr w:rsidR="00915CDF" w:rsidRPr="00D0035D" w:rsidTr="00915CDF">
        <w:trPr>
          <w:trHeight w:val="600"/>
          <w:jc w:val="center"/>
        </w:trPr>
        <w:tc>
          <w:tcPr>
            <w:tcW w:w="3033" w:type="dxa"/>
            <w:vMerge w:val="restart"/>
            <w:noWrap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Befektetések értékelése </w:t>
            </w: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Tőkebefektetési számítások: a beruházások gazdaságossági számításai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Megtérülési idő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Jövedelmezőségi mutatók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beruházási pénzeszközök forgási sebessége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Nettó jelenérték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Jövedelmezőségi index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  <w:r w:rsidRPr="00D0035D">
              <w:t>Belső megtérülési ráta (értelmezése, számítás nélkül)</w:t>
            </w:r>
          </w:p>
        </w:tc>
      </w:tr>
      <w:tr w:rsidR="00915CDF" w:rsidRPr="00D0035D" w:rsidTr="00915CDF">
        <w:trPr>
          <w:trHeight w:val="315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915CDF">
            <w:pPr>
              <w:jc w:val="both"/>
            </w:pPr>
            <w:r>
              <w:t>A</w:t>
            </w:r>
            <w:r w:rsidRPr="00D0035D">
              <w:t xml:space="preserve"> mutatók értelmezése</w:t>
            </w:r>
          </w:p>
        </w:tc>
      </w:tr>
      <w:tr w:rsidR="00915CDF" w:rsidRPr="00D0035D" w:rsidTr="00915CDF">
        <w:trPr>
          <w:trHeight w:val="330"/>
          <w:jc w:val="center"/>
        </w:trPr>
        <w:tc>
          <w:tcPr>
            <w:tcW w:w="3033" w:type="dxa"/>
            <w:vMerge/>
            <w:hideMark/>
          </w:tcPr>
          <w:p w:rsidR="00915CDF" w:rsidRPr="00D0035D" w:rsidRDefault="00915CDF" w:rsidP="00D0035D">
            <w:pPr>
              <w:jc w:val="both"/>
              <w:rPr>
                <w:b/>
                <w:bCs/>
              </w:rPr>
            </w:pPr>
          </w:p>
        </w:tc>
        <w:tc>
          <w:tcPr>
            <w:tcW w:w="5582" w:type="dxa"/>
            <w:hideMark/>
          </w:tcPr>
          <w:p w:rsidR="00915CDF" w:rsidRPr="00D0035D" w:rsidRDefault="00915CDF" w:rsidP="00D0035D">
            <w:pPr>
              <w:jc w:val="both"/>
            </w:pPr>
          </w:p>
        </w:tc>
      </w:tr>
    </w:tbl>
    <w:p w:rsidR="00932CE4" w:rsidRDefault="00932CE4"/>
    <w:p w:rsidR="006277E9" w:rsidRDefault="00FB1103">
      <w:r>
        <w:t xml:space="preserve">A tantárgy követelményeit tudomásul veszem. </w:t>
      </w:r>
    </w:p>
    <w:p w:rsidR="00FB1103" w:rsidRDefault="00FB1103">
      <w:r>
        <w:t>A követelményrendszert 1 példányban átvettem.</w:t>
      </w:r>
    </w:p>
    <w:p w:rsidR="00FB1103" w:rsidRDefault="00FB1103">
      <w:r>
        <w:t xml:space="preserve">Dátum: Budapest, 2024. </w:t>
      </w:r>
      <w:proofErr w:type="gramStart"/>
      <w:r>
        <w:t>május              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32CE4">
        <w:tab/>
      </w:r>
      <w:r w:rsidR="00932CE4">
        <w:tab/>
      </w:r>
      <w:r>
        <w:tab/>
      </w:r>
      <w:r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 w:rsidR="00932CE4">
        <w:tab/>
      </w:r>
      <w:r>
        <w:t>aláírás</w:t>
      </w:r>
    </w:p>
    <w:sectPr w:rsidR="00FB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9"/>
    <w:rsid w:val="00175E3E"/>
    <w:rsid w:val="0018743D"/>
    <w:rsid w:val="001E5AC7"/>
    <w:rsid w:val="001F74F6"/>
    <w:rsid w:val="00244D1A"/>
    <w:rsid w:val="003420D8"/>
    <w:rsid w:val="003A7115"/>
    <w:rsid w:val="00513F97"/>
    <w:rsid w:val="006277E9"/>
    <w:rsid w:val="006F2F91"/>
    <w:rsid w:val="00915CDF"/>
    <w:rsid w:val="00932CE4"/>
    <w:rsid w:val="00D0035D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2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6277E9"/>
  </w:style>
  <w:style w:type="table" w:styleId="Rcsostblzat">
    <w:name w:val="Table Grid"/>
    <w:basedOn w:val="Normltblzat"/>
    <w:uiPriority w:val="59"/>
    <w:rsid w:val="0051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2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6277E9"/>
  </w:style>
  <w:style w:type="table" w:styleId="Rcsostblzat">
    <w:name w:val="Table Grid"/>
    <w:basedOn w:val="Normltblzat"/>
    <w:uiPriority w:val="59"/>
    <w:rsid w:val="0051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535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 Nagy</dc:creator>
  <cp:lastModifiedBy>János Nagy</cp:lastModifiedBy>
  <cp:revision>5</cp:revision>
  <cp:lastPrinted>2024-05-08T05:55:00Z</cp:lastPrinted>
  <dcterms:created xsi:type="dcterms:W3CDTF">2024-05-08T05:42:00Z</dcterms:created>
  <dcterms:modified xsi:type="dcterms:W3CDTF">2024-05-08T05:56:00Z</dcterms:modified>
</cp:coreProperties>
</file>